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720" w:firstLineChars="200"/>
        <w:jc w:val="center"/>
        <w:rPr>
          <w:rFonts w:hint="eastAsia" w:ascii="黑体" w:hAnsi="黑体" w:eastAsia="黑体"/>
          <w:sz w:val="36"/>
          <w:szCs w:val="36"/>
        </w:rPr>
      </w:pPr>
    </w:p>
    <w:p>
      <w:pPr>
        <w:spacing w:line="520" w:lineRule="exact"/>
        <w:ind w:firstLine="880" w:firstLineChars="200"/>
        <w:jc w:val="center"/>
        <w:rPr>
          <w:rFonts w:hint="eastAsia" w:ascii="黑体" w:hAnsi="黑体" w:eastAsia="黑体"/>
          <w:sz w:val="44"/>
          <w:szCs w:val="44"/>
        </w:rPr>
      </w:pPr>
      <w:r>
        <w:rPr>
          <w:rFonts w:hint="eastAsia" w:ascii="黑体" w:hAnsi="黑体" w:eastAsia="黑体"/>
          <w:sz w:val="44"/>
          <w:szCs w:val="44"/>
        </w:rPr>
        <w:t>《</w:t>
      </w:r>
      <w:r>
        <w:rPr>
          <w:rFonts w:hint="eastAsia" w:ascii="黑体" w:hAnsi="黑体" w:eastAsia="黑体"/>
          <w:sz w:val="44"/>
          <w:szCs w:val="44"/>
          <w:lang w:eastAsia="zh-CN"/>
        </w:rPr>
        <w:t>地理标志产品</w:t>
      </w:r>
      <w:r>
        <w:rPr>
          <w:rFonts w:hint="eastAsia" w:ascii="黑体" w:hAnsi="黑体" w:eastAsia="黑体"/>
          <w:sz w:val="44"/>
          <w:szCs w:val="44"/>
          <w:lang w:val="en-US" w:eastAsia="zh-CN"/>
        </w:rPr>
        <w:t xml:space="preserve"> </w:t>
      </w:r>
      <w:r>
        <w:rPr>
          <w:rFonts w:hint="eastAsia" w:ascii="黑体" w:hAnsi="黑体" w:eastAsia="黑体"/>
          <w:sz w:val="44"/>
          <w:szCs w:val="44"/>
          <w:lang w:eastAsia="zh-CN"/>
        </w:rPr>
        <w:t>金玉三捻橄榄</w:t>
      </w:r>
      <w:r>
        <w:rPr>
          <w:rFonts w:hint="eastAsia" w:ascii="黑体" w:hAnsi="黑体" w:eastAsia="黑体"/>
          <w:sz w:val="44"/>
          <w:szCs w:val="44"/>
        </w:rPr>
        <w:t>》</w:t>
      </w:r>
    </w:p>
    <w:p>
      <w:pPr>
        <w:spacing w:line="520" w:lineRule="exact"/>
        <w:ind w:firstLine="880" w:firstLineChars="200"/>
        <w:jc w:val="center"/>
        <w:rPr>
          <w:rFonts w:ascii="黑体" w:hAnsi="黑体" w:eastAsia="黑体"/>
          <w:sz w:val="44"/>
          <w:szCs w:val="44"/>
        </w:rPr>
      </w:pPr>
      <w:bookmarkStart w:id="0" w:name="_GoBack"/>
      <w:bookmarkEnd w:id="0"/>
      <w:r>
        <w:rPr>
          <w:rFonts w:hint="eastAsia" w:ascii="黑体" w:hAnsi="黑体" w:eastAsia="黑体"/>
          <w:sz w:val="44"/>
          <w:szCs w:val="44"/>
        </w:rPr>
        <w:t>编制说明</w:t>
      </w:r>
    </w:p>
    <w:p>
      <w:pPr>
        <w:spacing w:line="520" w:lineRule="exact"/>
        <w:ind w:firstLine="640" w:firstLineChars="200"/>
        <w:rPr>
          <w:rFonts w:asciiTheme="majorEastAsia" w:hAnsiTheme="majorEastAsia" w:eastAsiaTheme="majorEastAsia"/>
          <w:sz w:val="32"/>
          <w:szCs w:val="32"/>
        </w:rPr>
      </w:pPr>
    </w:p>
    <w:p>
      <w:pPr>
        <w:keepNext w:val="0"/>
        <w:keepLines w:val="0"/>
        <w:pageBreakBefore w:val="0"/>
        <w:kinsoku/>
        <w:wordWrap/>
        <w:overflowPunct/>
        <w:topLinePunct w:val="0"/>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一、项目的目的和意义</w:t>
      </w:r>
    </w:p>
    <w:p>
      <w:pPr>
        <w:keepNext w:val="0"/>
        <w:keepLines w:val="0"/>
        <w:pageBreakBefore w:val="0"/>
        <w:kinsoku/>
        <w:wordWrap/>
        <w:overflowPunct/>
        <w:topLinePunct w:val="0"/>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玉三捻橄榄历史悠久，最早的种植记录是在明成化年间（1494年）。上个世纪八十年代初，鲜食橄榄成为潮汕地区人民的一大嗜好，金玉三捻橄榄因其肉质爽脆、榄香浓郁、果形果色独特而重新成为鲜食橄榄中的佼佼者，并逐渐成为橄榄果品市场的优质代表，具有十分优异的品位和市场品牌价值，而其有限的产量使得金玉三捻橄榄弥足珍贵，制订地方标准保护这一特色农产品，显得尤为重要和紧迫，有利于橄榄产业的健康发展，有利于促进地方经济发展，更有利于提高农民的经济收入。</w:t>
      </w:r>
    </w:p>
    <w:p>
      <w:pPr>
        <w:keepNext w:val="0"/>
        <w:keepLines w:val="0"/>
        <w:pageBreakBefore w:val="0"/>
        <w:kinsoku/>
        <w:wordWrap/>
        <w:overflowPunct/>
        <w:topLinePunct w:val="0"/>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楷体" w:hAnsi="楷体" w:eastAsia="楷体" w:cs="楷体"/>
          <w:sz w:val="32"/>
          <w:szCs w:val="32"/>
        </w:rPr>
        <w:t>二、</w:t>
      </w:r>
      <w:r>
        <w:rPr>
          <w:rFonts w:hint="eastAsia" w:ascii="楷体" w:hAnsi="楷体" w:eastAsia="楷体" w:cs="楷体"/>
          <w:color w:val="000000" w:themeColor="text1"/>
          <w:sz w:val="32"/>
          <w:szCs w:val="32"/>
        </w:rPr>
        <w:t>工作情况介绍</w:t>
      </w:r>
    </w:p>
    <w:p>
      <w:pPr>
        <w:keepNext w:val="0"/>
        <w:keepLines w:val="0"/>
        <w:pageBreakBefore w:val="0"/>
        <w:kinsoku/>
        <w:wordWrap/>
        <w:overflowPunct/>
        <w:topLinePunct w:val="0"/>
        <w:bidi w:val="0"/>
        <w:spacing w:line="520" w:lineRule="exact"/>
        <w:ind w:firstLine="640" w:firstLineChars="200"/>
        <w:textAlignment w:val="auto"/>
        <w:rPr>
          <w:rFonts w:hint="eastAsia" w:ascii="仿宋_GB2312" w:hAnsi="仿宋_GB2312" w:eastAsia="仿宋_GB2312" w:cs="仿宋_GB2312"/>
          <w:w w:val="90"/>
          <w:position w:val="2"/>
          <w:sz w:val="32"/>
          <w:szCs w:val="32"/>
        </w:rPr>
      </w:pPr>
      <w:r>
        <w:rPr>
          <w:rFonts w:hint="eastAsia" w:ascii="仿宋_GB2312" w:hAnsi="仿宋_GB2312" w:eastAsia="仿宋_GB2312" w:cs="仿宋_GB2312"/>
          <w:sz w:val="32"/>
          <w:szCs w:val="32"/>
          <w:lang w:eastAsia="zh-CN"/>
        </w:rPr>
        <w:t>汕头市</w:t>
      </w:r>
      <w:r>
        <w:rPr>
          <w:rFonts w:hint="eastAsia" w:ascii="仿宋_GB2312" w:hAnsi="仿宋_GB2312" w:eastAsia="仿宋_GB2312" w:cs="仿宋_GB2312"/>
          <w:sz w:val="32"/>
          <w:szCs w:val="32"/>
        </w:rPr>
        <w:t>潮阳区金灶镇是金玉三捻橄榄的主产区，具有得天独厚的气候条件、地理环境和丰富的栽培经验，是栽培高品质金玉三捻橄榄的最佳区域。金灶镇目前有三捻橄榄8000多亩，集中种植于芦塘、东坑、官坑、下寮、徐寮等山区村。</w:t>
      </w:r>
      <w:r>
        <w:rPr>
          <w:rFonts w:hint="eastAsia" w:ascii="仿宋_GB2312" w:hAnsi="仿宋_GB2312" w:eastAsia="仿宋_GB2312" w:cs="仿宋_GB2312"/>
          <w:w w:val="90"/>
          <w:position w:val="2"/>
          <w:sz w:val="32"/>
          <w:szCs w:val="32"/>
        </w:rPr>
        <w:t>2008年9月，金玉三捻橄榄成为汕头市首个获得国家质监总局认证的国家地理标志保护产品。</w:t>
      </w:r>
    </w:p>
    <w:p>
      <w:pPr>
        <w:keepNext w:val="0"/>
        <w:keepLines w:val="0"/>
        <w:pageBreakBefore w:val="0"/>
        <w:kinsoku/>
        <w:wordWrap/>
        <w:overflowPunct/>
        <w:topLinePunct w:val="0"/>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近年来，金灶镇切实加强产前、产中和产后服务，不断推动三捻橄榄产业的良好发展。经汕头市潮阳区金灶镇农业服务中心和汕头市</w:t>
      </w:r>
      <w:r>
        <w:rPr>
          <w:rFonts w:hint="eastAsia" w:ascii="仿宋_GB2312" w:hAnsi="仿宋_GB2312" w:eastAsia="仿宋_GB2312" w:cs="仿宋_GB2312"/>
          <w:sz w:val="32"/>
          <w:szCs w:val="32"/>
          <w:lang w:eastAsia="zh-CN"/>
        </w:rPr>
        <w:t>吉之祥农业</w:t>
      </w:r>
      <w:r>
        <w:rPr>
          <w:rFonts w:hint="eastAsia" w:ascii="仿宋_GB2312" w:hAnsi="仿宋_GB2312" w:eastAsia="仿宋_GB2312" w:cs="仿宋_GB2312"/>
          <w:sz w:val="32"/>
          <w:szCs w:val="32"/>
        </w:rPr>
        <w:t>专业合作社牵头，成立市级地方标准制订课题组，经课题组技术骨干对标准初稿进行补充修改，形成征求意见稿。课题组将征求意见稿发送给汕头市果树研究中心、汕头市潮阳区农业科学研究所等单位有关专家进行审阅并给出修改意见和建议，课题组对专家提出的合理意见和建议给予采纳并再次修改后，形成送审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2023年10月23日由汕头市农业农村局组织有关专家对</w:t>
      </w:r>
      <w:r>
        <w:rPr>
          <w:rFonts w:hint="eastAsia" w:ascii="仿宋_GB2312" w:hAnsi="仿宋_GB2312" w:eastAsia="仿宋_GB2312" w:cs="仿宋_GB2312"/>
          <w:sz w:val="32"/>
          <w:szCs w:val="32"/>
        </w:rPr>
        <w:t>送审稿</w:t>
      </w:r>
      <w:r>
        <w:rPr>
          <w:rFonts w:hint="eastAsia" w:ascii="仿宋_GB2312" w:hAnsi="仿宋_GB2312" w:eastAsia="仿宋_GB2312" w:cs="仿宋_GB2312"/>
          <w:sz w:val="32"/>
          <w:szCs w:val="32"/>
          <w:lang w:eastAsia="zh-CN"/>
        </w:rPr>
        <w:t>进行技术审查，对专家提出的合理意见采纳修改后形成报批稿</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pacing w:line="520" w:lineRule="exact"/>
        <w:ind w:firstLine="640" w:firstLineChars="200"/>
        <w:textAlignment w:val="auto"/>
        <w:rPr>
          <w:rFonts w:hint="eastAsia" w:ascii="楷体" w:hAnsi="楷体" w:eastAsia="楷体" w:cs="楷体"/>
          <w:color w:val="000000" w:themeColor="text1"/>
          <w:sz w:val="32"/>
          <w:szCs w:val="32"/>
        </w:rPr>
      </w:pPr>
      <w:r>
        <w:rPr>
          <w:rFonts w:hint="eastAsia" w:ascii="楷体" w:hAnsi="楷体" w:eastAsia="楷体" w:cs="楷体"/>
          <w:sz w:val="32"/>
          <w:szCs w:val="32"/>
        </w:rPr>
        <w:t>三、</w:t>
      </w:r>
      <w:r>
        <w:rPr>
          <w:rFonts w:hint="eastAsia" w:ascii="楷体" w:hAnsi="楷体" w:eastAsia="楷体" w:cs="楷体"/>
          <w:color w:val="000000" w:themeColor="text1"/>
          <w:sz w:val="32"/>
          <w:szCs w:val="32"/>
        </w:rPr>
        <w:t>项目涉及技术在汕头市的基本情况</w:t>
      </w:r>
    </w:p>
    <w:p>
      <w:pPr>
        <w:keepNext w:val="0"/>
        <w:keepLines w:val="0"/>
        <w:pageBreakBefore w:val="0"/>
        <w:kinsoku/>
        <w:wordWrap/>
        <w:overflowPunct/>
        <w:topLinePunct w:val="0"/>
        <w:bidi w:val="0"/>
        <w:spacing w:line="5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金玉三捻橄榄</w:t>
      </w:r>
      <w:r>
        <w:rPr>
          <w:rFonts w:hint="eastAsia" w:ascii="仿宋_GB2312" w:hAnsi="仿宋_GB2312" w:eastAsia="仿宋_GB2312" w:cs="仿宋_GB2312"/>
          <w:sz w:val="32"/>
          <w:szCs w:val="32"/>
          <w:lang w:eastAsia="zh-CN"/>
        </w:rPr>
        <w:t>生产技术在汕头市潮阳区金灶镇已推广应用十多年，为其他品种的橄榄种植管理提供有益借鉴。近年来，金灶镇农业服务中心积极开展橄榄良种、良法栽培技术示范，通过核心示范区示范栽培辐射带动周边地区橄榄的良种、良法配套推广应用。</w:t>
      </w:r>
    </w:p>
    <w:p>
      <w:pPr>
        <w:keepNext w:val="0"/>
        <w:keepLines w:val="0"/>
        <w:pageBreakBefore w:val="0"/>
        <w:kinsoku/>
        <w:wordWrap/>
        <w:overflowPunct/>
        <w:topLinePunct w:val="0"/>
        <w:bidi w:val="0"/>
        <w:adjustRightInd w:val="0"/>
        <w:snapToGrid w:val="0"/>
        <w:spacing w:line="520" w:lineRule="exact"/>
        <w:ind w:firstLine="696" w:firstLineChars="200"/>
        <w:textAlignment w:val="auto"/>
        <w:rPr>
          <w:rFonts w:hint="eastAsia" w:ascii="楷体" w:hAnsi="楷体" w:eastAsia="楷体" w:cs="楷体"/>
          <w:color w:val="000000" w:themeColor="text1"/>
          <w:sz w:val="32"/>
          <w:szCs w:val="32"/>
        </w:rPr>
      </w:pPr>
      <w:r>
        <w:rPr>
          <w:rFonts w:hint="eastAsia" w:ascii="楷体" w:hAnsi="楷体" w:eastAsia="楷体" w:cs="楷体"/>
          <w:color w:val="000000" w:themeColor="text1"/>
          <w:spacing w:val="14"/>
          <w:sz w:val="32"/>
          <w:szCs w:val="32"/>
        </w:rPr>
        <w:t>四、标准</w:t>
      </w:r>
      <w:r>
        <w:rPr>
          <w:rFonts w:hint="eastAsia" w:ascii="楷体" w:hAnsi="楷体" w:eastAsia="楷体" w:cs="楷体"/>
          <w:color w:val="000000" w:themeColor="text1"/>
          <w:sz w:val="32"/>
          <w:szCs w:val="32"/>
        </w:rPr>
        <w:t>起草过程中的编制原则和主要内容的确定论据（包括试验、统计数据）</w:t>
      </w:r>
    </w:p>
    <w:p>
      <w:pPr>
        <w:pStyle w:val="10"/>
        <w:keepNext w:val="0"/>
        <w:keepLines w:val="0"/>
        <w:pageBreakBefore w:val="0"/>
        <w:numPr>
          <w:ilvl w:val="0"/>
          <w:numId w:val="1"/>
        </w:numPr>
        <w:kinsoku/>
        <w:wordWrap/>
        <w:overflowPunct/>
        <w:topLinePunct w:val="0"/>
        <w:bidi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编制原则</w:t>
      </w:r>
    </w:p>
    <w:p>
      <w:pPr>
        <w:pStyle w:val="10"/>
        <w:keepNext w:val="0"/>
        <w:keepLines w:val="0"/>
        <w:pageBreakBefore w:val="0"/>
        <w:kinsoku/>
        <w:wordWrap/>
        <w:overflowPunct/>
        <w:topLinePunct w:val="0"/>
        <w:bidi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本标准按照GB/T 1.1-2020《标准化工作导则 第1部分：标准化文件的结构和起草规则》和GB/T 1.2-2020《标准化工作导则 第2部分：以ISO/IEC标准化文件为基础的标准化文件起草规则》中的规定进行编写。</w:t>
      </w:r>
    </w:p>
    <w:p>
      <w:pPr>
        <w:pStyle w:val="10"/>
        <w:keepNext w:val="0"/>
        <w:keepLines w:val="0"/>
        <w:pageBreakBefore w:val="0"/>
        <w:numPr>
          <w:ilvl w:val="0"/>
          <w:numId w:val="1"/>
        </w:numPr>
        <w:kinsoku/>
        <w:wordWrap/>
        <w:overflowPunct/>
        <w:topLinePunct w:val="0"/>
        <w:bidi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主要内容确定依据</w:t>
      </w:r>
    </w:p>
    <w:p>
      <w:pPr>
        <w:pStyle w:val="10"/>
        <w:keepNext w:val="0"/>
        <w:keepLines w:val="0"/>
        <w:pageBreakBefore w:val="0"/>
        <w:kinsoku/>
        <w:wordWrap/>
        <w:overflowPunct/>
        <w:topLinePunct w:val="0"/>
        <w:bidi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本标准是根据</w:t>
      </w:r>
      <w:r>
        <w:rPr>
          <w:rFonts w:hint="eastAsia" w:ascii="仿宋_GB2312" w:hAnsi="仿宋_GB2312" w:eastAsia="仿宋_GB2312" w:cs="仿宋_GB2312"/>
          <w:sz w:val="32"/>
          <w:szCs w:val="32"/>
          <w:lang w:eastAsia="zh-CN"/>
        </w:rPr>
        <w:t>金玉三捻橄榄</w:t>
      </w:r>
      <w:r>
        <w:rPr>
          <w:rFonts w:hint="eastAsia" w:ascii="仿宋_GB2312" w:hAnsi="仿宋_GB2312" w:eastAsia="仿宋_GB2312" w:cs="仿宋_GB2312"/>
          <w:sz w:val="32"/>
          <w:szCs w:val="32"/>
        </w:rPr>
        <w:t>种植户多年积累的栽培经验</w:t>
      </w:r>
      <w:r>
        <w:rPr>
          <w:rFonts w:hint="eastAsia" w:ascii="仿宋_GB2312" w:hAnsi="仿宋_GB2312" w:eastAsia="仿宋_GB2312" w:cs="仿宋_GB2312"/>
          <w:sz w:val="32"/>
          <w:szCs w:val="32"/>
          <w:lang w:eastAsia="zh-CN"/>
        </w:rPr>
        <w:t>和金玉三捻橄榄果实抽检得到的品质情况</w:t>
      </w:r>
      <w:r>
        <w:rPr>
          <w:rFonts w:hint="eastAsia" w:ascii="仿宋_GB2312" w:hAnsi="仿宋_GB2312" w:eastAsia="仿宋_GB2312" w:cs="仿宋_GB2312"/>
          <w:sz w:val="32"/>
          <w:szCs w:val="32"/>
        </w:rPr>
        <w:t>汇总后进行编制的</w:t>
      </w:r>
      <w:r>
        <w:rPr>
          <w:rFonts w:hint="eastAsia" w:ascii="仿宋_GB2312" w:hAnsi="仿宋_GB2312" w:eastAsia="仿宋_GB2312" w:cs="仿宋_GB2312"/>
          <w:sz w:val="32"/>
          <w:szCs w:val="32"/>
          <w:lang w:eastAsia="zh-CN"/>
        </w:rPr>
        <w:t>，理化指标和分级指标根据金玉三捻橄榄的品质确定</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adjustRightInd w:val="0"/>
        <w:snapToGrid w:val="0"/>
        <w:spacing w:line="520" w:lineRule="exact"/>
        <w:ind w:firstLine="640" w:firstLineChars="200"/>
        <w:textAlignment w:val="auto"/>
        <w:rPr>
          <w:rFonts w:hint="eastAsia" w:ascii="楷体" w:hAnsi="楷体" w:eastAsia="楷体" w:cs="楷体"/>
          <w:color w:val="000000" w:themeColor="text1"/>
          <w:sz w:val="32"/>
          <w:szCs w:val="32"/>
        </w:rPr>
      </w:pPr>
      <w:r>
        <w:rPr>
          <w:rFonts w:hint="eastAsia" w:ascii="楷体" w:hAnsi="楷体" w:eastAsia="楷体" w:cs="楷体"/>
          <w:sz w:val="32"/>
          <w:szCs w:val="32"/>
        </w:rPr>
        <w:t>五、</w:t>
      </w:r>
      <w:r>
        <w:rPr>
          <w:rFonts w:hint="eastAsia" w:ascii="楷体" w:hAnsi="楷体" w:eastAsia="楷体" w:cs="楷体"/>
          <w:color w:val="000000" w:themeColor="text1"/>
          <w:sz w:val="32"/>
          <w:szCs w:val="32"/>
        </w:rPr>
        <w:t>与有关的现行法律、法规和强制性国家标准、行业标准、广东省地方标准的关系</w:t>
      </w:r>
    </w:p>
    <w:p>
      <w:pPr>
        <w:pStyle w:val="10"/>
        <w:keepNext w:val="0"/>
        <w:keepLines w:val="0"/>
        <w:pageBreakBefore w:val="0"/>
        <w:kinsoku/>
        <w:wordWrap/>
        <w:overflowPunct/>
        <w:topLinePunct w:val="0"/>
        <w:bidi w:val="0"/>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本标准制定的法律依据是《中华人民共和国标准化法》《中华人民共和国标准化实施条例》《农业标准化管理办法》和《广东省标准化条例》的有关规定及要求。</w:t>
      </w:r>
    </w:p>
    <w:p>
      <w:pPr>
        <w:keepNext w:val="0"/>
        <w:keepLines w:val="0"/>
        <w:pageBreakBefore w:val="0"/>
        <w:kinsoku/>
        <w:wordWrap/>
        <w:overflowPunct/>
        <w:topLinePunct w:val="0"/>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楷体" w:hAnsi="楷体" w:eastAsia="楷体" w:cs="楷体"/>
          <w:sz w:val="32"/>
          <w:szCs w:val="32"/>
        </w:rPr>
        <w:t>六、</w:t>
      </w:r>
      <w:r>
        <w:rPr>
          <w:rFonts w:hint="eastAsia" w:ascii="楷体" w:hAnsi="楷体" w:eastAsia="楷体" w:cs="楷体"/>
          <w:color w:val="000000" w:themeColor="text1"/>
          <w:sz w:val="32"/>
          <w:szCs w:val="32"/>
        </w:rPr>
        <w:t>重大分歧意见的处理经过、结果和依据</w:t>
      </w:r>
    </w:p>
    <w:p>
      <w:pPr>
        <w:keepNext w:val="0"/>
        <w:keepLines w:val="0"/>
        <w:pageBreakBefore w:val="0"/>
        <w:kinsoku/>
        <w:wordWrap/>
        <w:overflowPunct/>
        <w:topLinePunct w:val="0"/>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在制修订本标准过程中，未产生重大分歧。标准修订初稿完成后，经课题组技术骨干对标准初稿进行补充修改，形成征求意见稿。课题组将征求意见稿发送给其他科研院所</w:t>
      </w:r>
      <w:r>
        <w:rPr>
          <w:rFonts w:hint="eastAsia" w:ascii="仿宋_GB2312" w:hAnsi="仿宋_GB2312" w:eastAsia="仿宋_GB2312" w:cs="仿宋_GB2312"/>
          <w:sz w:val="32"/>
          <w:szCs w:val="32"/>
          <w:lang w:eastAsia="zh-CN"/>
        </w:rPr>
        <w:t>等单位</w:t>
      </w:r>
      <w:r>
        <w:rPr>
          <w:rFonts w:hint="eastAsia" w:ascii="仿宋_GB2312" w:hAnsi="仿宋_GB2312" w:eastAsia="仿宋_GB2312" w:cs="仿宋_GB2312"/>
          <w:sz w:val="32"/>
          <w:szCs w:val="32"/>
        </w:rPr>
        <w:t>的有关专家进行审阅并给出修改意见和建议，课题组对专家提出的合理意见和建议给予采纳并再次修改后，形成送审稿。</w:t>
      </w:r>
    </w:p>
    <w:p>
      <w:pPr>
        <w:keepNext w:val="0"/>
        <w:keepLines w:val="0"/>
        <w:pageBreakBefore w:val="0"/>
        <w:kinsoku/>
        <w:wordWrap/>
        <w:overflowPunct/>
        <w:topLinePunct w:val="0"/>
        <w:bidi w:val="0"/>
        <w:adjustRightInd w:val="0"/>
        <w:snapToGrid w:val="0"/>
        <w:spacing w:line="52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楷体" w:hAnsi="楷体" w:eastAsia="楷体" w:cs="楷体"/>
          <w:sz w:val="32"/>
          <w:szCs w:val="32"/>
        </w:rPr>
        <w:t>七、</w:t>
      </w:r>
      <w:r>
        <w:rPr>
          <w:rFonts w:hint="eastAsia" w:ascii="楷体" w:hAnsi="楷体" w:eastAsia="楷体" w:cs="楷体"/>
          <w:color w:val="000000" w:themeColor="text1"/>
          <w:sz w:val="32"/>
          <w:szCs w:val="32"/>
        </w:rPr>
        <w:t>贯彻国家、省、市地方标准的要求和措施建议</w:t>
      </w:r>
    </w:p>
    <w:p>
      <w:pPr>
        <w:keepNext w:val="0"/>
        <w:keepLines w:val="0"/>
        <w:pageBreakBefore w:val="0"/>
        <w:kinsoku/>
        <w:wordWrap/>
        <w:overflowPunct/>
        <w:topLinePunct w:val="0"/>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农业生产受气候条件等自然因素影响较大，存在不确定性，因此在执行本标准时要根据实际情况灵活调整栽培技术措施。</w:t>
      </w:r>
    </w:p>
    <w:p>
      <w:pPr>
        <w:keepNext w:val="0"/>
        <w:keepLines w:val="0"/>
        <w:pageBreakBefore w:val="0"/>
        <w:kinsoku/>
        <w:wordWrap/>
        <w:overflowPunct/>
        <w:topLinePunct w:val="0"/>
        <w:bidi w:val="0"/>
        <w:adjustRightInd w:val="0"/>
        <w:snapToGrid w:val="0"/>
        <w:spacing w:line="520" w:lineRule="exact"/>
        <w:ind w:firstLine="640" w:firstLineChars="200"/>
        <w:textAlignment w:val="auto"/>
        <w:rPr>
          <w:rFonts w:hint="eastAsia" w:ascii="楷体" w:hAnsi="楷体" w:eastAsia="楷体" w:cs="楷体"/>
          <w:color w:val="000000" w:themeColor="text1"/>
          <w:sz w:val="32"/>
          <w:szCs w:val="32"/>
        </w:rPr>
      </w:pPr>
      <w:r>
        <w:rPr>
          <w:rFonts w:hint="eastAsia" w:ascii="楷体" w:hAnsi="楷体" w:eastAsia="楷体" w:cs="楷体"/>
          <w:sz w:val="32"/>
          <w:szCs w:val="32"/>
        </w:rPr>
        <w:t>八、</w:t>
      </w:r>
      <w:r>
        <w:rPr>
          <w:rFonts w:hint="eastAsia" w:ascii="楷体" w:hAnsi="楷体" w:eastAsia="楷体" w:cs="楷体"/>
          <w:color w:val="000000" w:themeColor="text1"/>
          <w:sz w:val="32"/>
          <w:szCs w:val="32"/>
        </w:rPr>
        <w:t>其他应予说明的事项。</w:t>
      </w:r>
    </w:p>
    <w:p>
      <w:pPr>
        <w:keepNext w:val="0"/>
        <w:keepLines w:val="0"/>
        <w:pageBreakBefore w:val="0"/>
        <w:kinsoku/>
        <w:wordWrap/>
        <w:overflowPunct/>
        <w:topLinePunct w:val="0"/>
        <w:bidi w:val="0"/>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 xml:space="preserve">   </w:t>
      </w:r>
      <w:r>
        <w:rPr>
          <w:rFonts w:hint="eastAsia" w:ascii="仿宋_GB2312" w:hAnsi="仿宋_GB2312" w:eastAsia="仿宋_GB2312" w:cs="仿宋_GB2312"/>
          <w:sz w:val="32"/>
          <w:szCs w:val="32"/>
        </w:rPr>
        <w:t xml:space="preserve"> 无。</w:t>
      </w:r>
    </w:p>
    <w:p>
      <w:pPr>
        <w:pStyle w:val="10"/>
        <w:spacing w:line="500" w:lineRule="exact"/>
        <w:ind w:left="218" w:leftChars="104" w:firstLine="638" w:firstLineChars="228"/>
        <w:rPr>
          <w:rFonts w:hAnsi="宋体" w:cs="宋体"/>
          <w:sz w:val="28"/>
          <w:szCs w:val="28"/>
        </w:rPr>
      </w:pPr>
    </w:p>
    <w:p>
      <w:pPr>
        <w:spacing w:line="520" w:lineRule="exact"/>
        <w:ind w:firstLine="640" w:firstLineChars="200"/>
        <w:rPr>
          <w:rFonts w:ascii="仿宋_GB2312" w:eastAsia="仿宋_GB2312" w:hAnsiTheme="majorEastAsia"/>
          <w:sz w:val="32"/>
          <w:szCs w:val="32"/>
        </w:rPr>
      </w:pPr>
    </w:p>
    <w:p>
      <w:pPr>
        <w:spacing w:line="520" w:lineRule="exact"/>
        <w:ind w:firstLine="640" w:firstLineChars="200"/>
        <w:rPr>
          <w:rFonts w:ascii="仿宋_GB2312" w:eastAsia="仿宋_GB2312" w:hAnsiTheme="majorEastAsia"/>
          <w:sz w:val="32"/>
          <w:szCs w:val="32"/>
        </w:rPr>
      </w:pPr>
    </w:p>
    <w:p>
      <w:pPr>
        <w:rPr>
          <w:rFonts w:asciiTheme="majorEastAsia" w:hAnsiTheme="majorEastAsia" w:eastAsiaTheme="majorEastAsia"/>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8379222"/>
    </w:sdtPr>
    <w:sdtContent>
      <w:sdt>
        <w:sdtPr>
          <w:id w:val="171357217"/>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9DAFB7"/>
    <w:multiLevelType w:val="singleLevel"/>
    <w:tmpl w:val="FC9DAFB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E2ZTY5MDRiYzA5M2I5NDVjYjcyOTE3Mjk5YTZhMjYifQ=="/>
  </w:docVars>
  <w:rsids>
    <w:rsidRoot w:val="000A5307"/>
    <w:rsid w:val="000A5307"/>
    <w:rsid w:val="000D6853"/>
    <w:rsid w:val="001611D8"/>
    <w:rsid w:val="002548D0"/>
    <w:rsid w:val="002765D6"/>
    <w:rsid w:val="002E53FE"/>
    <w:rsid w:val="002F06DE"/>
    <w:rsid w:val="00434882"/>
    <w:rsid w:val="00441373"/>
    <w:rsid w:val="00487AE9"/>
    <w:rsid w:val="00496E9D"/>
    <w:rsid w:val="00500310"/>
    <w:rsid w:val="0054775A"/>
    <w:rsid w:val="005B3CFE"/>
    <w:rsid w:val="005B60E1"/>
    <w:rsid w:val="005D43C7"/>
    <w:rsid w:val="005F5F79"/>
    <w:rsid w:val="00726213"/>
    <w:rsid w:val="007B2B4F"/>
    <w:rsid w:val="007D03ED"/>
    <w:rsid w:val="007E0BAA"/>
    <w:rsid w:val="0080470C"/>
    <w:rsid w:val="00824FE1"/>
    <w:rsid w:val="00864206"/>
    <w:rsid w:val="00876346"/>
    <w:rsid w:val="0093296B"/>
    <w:rsid w:val="00984178"/>
    <w:rsid w:val="00A82579"/>
    <w:rsid w:val="00BA705B"/>
    <w:rsid w:val="00BB6DDE"/>
    <w:rsid w:val="00D01469"/>
    <w:rsid w:val="00D24E06"/>
    <w:rsid w:val="00D558DF"/>
    <w:rsid w:val="00DD2DD2"/>
    <w:rsid w:val="00E457EF"/>
    <w:rsid w:val="00E66F6E"/>
    <w:rsid w:val="00F5044C"/>
    <w:rsid w:val="0CFA76D1"/>
    <w:rsid w:val="12204A6F"/>
    <w:rsid w:val="126E1DC4"/>
    <w:rsid w:val="155A7649"/>
    <w:rsid w:val="25E70D2A"/>
    <w:rsid w:val="2978071F"/>
    <w:rsid w:val="29D8513F"/>
    <w:rsid w:val="2AA55241"/>
    <w:rsid w:val="32850D1C"/>
    <w:rsid w:val="538A6DD7"/>
    <w:rsid w:val="5D061C7C"/>
    <w:rsid w:val="627555B7"/>
    <w:rsid w:val="62882872"/>
    <w:rsid w:val="6F74157D"/>
    <w:rsid w:val="70461D30"/>
    <w:rsid w:val="70A31170"/>
    <w:rsid w:val="738427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Times New Roman" w:hAnsi="Times New Roman" w:eastAsia="宋体" w:cs="Times New Roman"/>
      <w:sz w:val="18"/>
      <w:szCs w:val="18"/>
    </w:rPr>
  </w:style>
  <w:style w:type="character" w:customStyle="1" w:styleId="8">
    <w:name w:val="页脚 Char"/>
    <w:basedOn w:val="6"/>
    <w:link w:val="3"/>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 w:type="paragraph" w:customStyle="1" w:styleId="10">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character" w:customStyle="1" w:styleId="11">
    <w:name w:val="批注框文本 Char"/>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1268</Words>
  <Characters>1303</Characters>
  <Lines>11</Lines>
  <Paragraphs>3</Paragraphs>
  <TotalTime>7</TotalTime>
  <ScaleCrop>false</ScaleCrop>
  <LinksUpToDate>false</LinksUpToDate>
  <CharactersWithSpaces>1311</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2020-12-24T02:27:00Z</dcterms:created>
  <dc:creator>Administrator</dc:creator>
  <cp:lastModifiedBy>Administrator</cp:lastModifiedBy>
  <cp:lastPrinted>2023-10-25T02:33:00Z</cp:lastPrinted>
  <dcterms:modified xsi:type="dcterms:W3CDTF">2023-11-28T07:37:50Z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5643031E26E34DEC891F18CE820D07AC</vt:lpwstr>
  </property>
</Properties>
</file>